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ED" w:rsidRPr="000E32ED" w:rsidRDefault="000E32ED" w:rsidP="000E32ED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0E32ED">
        <w:rPr>
          <w:rFonts w:ascii="Arial" w:hAnsi="Arial" w:cs="Arial"/>
          <w:vanish/>
          <w:sz w:val="16"/>
          <w:szCs w:val="16"/>
        </w:rPr>
        <w:t>Top of Form</w:t>
      </w:r>
    </w:p>
    <w:p w:rsidR="000E32ED" w:rsidRPr="000E32ED" w:rsidRDefault="000E32ED" w:rsidP="000E32ED">
      <w:pPr>
        <w:shd w:val="clear" w:color="auto" w:fill="4C6C8C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</w:pP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br/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fldChar w:fldCharType="begin"/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instrText xml:space="preserve"> </w:instrText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fldChar w:fldCharType="begin"/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instrText xml:space="preserve"> PRIVATE "&lt;INPUT TYPE=\"text\" TABINDEX=\"1\" NAME=\"q\" SIZE=\"25\" MAXLENGTH=\"30\"&gt;" </w:instrText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fldChar w:fldCharType="separate"/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fldChar w:fldCharType="end"/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3035300" cy="2540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fldChar w:fldCharType="end"/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t xml:space="preserve">   </w:t>
      </w:r>
      <w:r w:rsidRPr="000E32ED">
        <w:rPr>
          <w:rFonts w:ascii="Times" w:eastAsia="Times New Roman" w:hAnsi="Times"/>
          <w:b/>
          <w:bCs/>
          <w:i/>
          <w:iCs/>
          <w:color w:val="000000"/>
          <w:sz w:val="14"/>
          <w:szCs w:val="14"/>
        </w:rPr>
        <w:t> </w:t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fldChar w:fldCharType="begin"/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instrText xml:space="preserve"> </w:instrText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fldChar w:fldCharType="begin"/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instrText xml:space="preserve"> PRIVATE "&lt;INPUT TYPE=\"submit\" TABINDEX=\"1\" NAME=\"btnG\" VALUE=\"Search!\"&gt;" </w:instrText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fldChar w:fldCharType="separate"/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fldChar w:fldCharType="end"/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977900" cy="2794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fldChar w:fldCharType="end"/>
      </w:r>
      <w:r w:rsidRPr="000E32ED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t xml:space="preserve"> </w:t>
      </w:r>
    </w:p>
    <w:p w:rsidR="000E32ED" w:rsidRPr="000E32ED" w:rsidRDefault="000E32ED" w:rsidP="000E32ED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0E32ED">
        <w:rPr>
          <w:rFonts w:ascii="Arial" w:hAnsi="Arial" w:cs="Arial"/>
          <w:vanish/>
          <w:sz w:val="16"/>
          <w:szCs w:val="16"/>
        </w:rPr>
        <w:t>Bottom of Form</w:t>
      </w:r>
    </w:p>
    <w:p w:rsidR="000E32ED" w:rsidRPr="000E32ED" w:rsidRDefault="000E32ED" w:rsidP="000E32ED">
      <w:pPr>
        <w:rPr>
          <w:rFonts w:ascii="Times" w:eastAsia="Times New Roman" w:hAnsi="Times" w:cs="Times New Roman"/>
          <w:sz w:val="20"/>
          <w:szCs w:val="20"/>
        </w:rPr>
      </w:pPr>
      <w:r w:rsidRPr="000E32ED">
        <w:rPr>
          <w:rFonts w:ascii="Tahoma" w:eastAsia="Times New Roman" w:hAnsi="Tahoma" w:cs="Tahoma"/>
          <w:color w:val="000000"/>
          <w:sz w:val="18"/>
          <w:szCs w:val="18"/>
        </w:rPr>
        <w:br w:type="textWrapping" w:clear="left"/>
      </w:r>
    </w:p>
    <w:p w:rsidR="000E32ED" w:rsidRPr="000E32ED" w:rsidRDefault="000E32ED" w:rsidP="000E32ED">
      <w:pPr>
        <w:shd w:val="clear" w:color="auto" w:fill="EADCAE"/>
        <w:rPr>
          <w:rFonts w:ascii="Tahoma" w:eastAsia="Times New Roman" w:hAnsi="Tahoma" w:cs="Tahoma"/>
          <w:color w:val="003366"/>
          <w:sz w:val="18"/>
          <w:szCs w:val="18"/>
        </w:rPr>
      </w:pPr>
      <w:r w:rsidRPr="000E32ED">
        <w:rPr>
          <w:rFonts w:ascii="Tahoma" w:eastAsia="Times New Roman" w:hAnsi="Tahoma" w:cs="Tahoma"/>
          <w:color w:val="003366"/>
          <w:sz w:val="9"/>
          <w:szCs w:val="9"/>
          <w:bdr w:val="none" w:sz="0" w:space="0" w:color="auto" w:frame="1"/>
        </w:rPr>
        <w:t> </w:t>
      </w:r>
    </w:p>
    <w:p w:rsidR="000E32ED" w:rsidRPr="000E32ED" w:rsidRDefault="000E32ED" w:rsidP="000E32ED">
      <w:pPr>
        <w:shd w:val="clear" w:color="auto" w:fill="EADCAE"/>
        <w:spacing w:line="255" w:lineRule="atLeast"/>
        <w:outlineLvl w:val="1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  <w:r w:rsidRPr="000E32ED">
        <w:rPr>
          <w:rFonts w:ascii="Tahoma" w:eastAsia="Times New Roman" w:hAnsi="Tahoma" w:cs="Tahoma"/>
          <w:b/>
          <w:bCs/>
          <w:color w:val="B66506"/>
          <w:sz w:val="23"/>
          <w:szCs w:val="23"/>
          <w:bdr w:val="none" w:sz="0" w:space="0" w:color="auto" w:frame="1"/>
        </w:rPr>
        <w:t>News</w:t>
      </w:r>
      <w:r w:rsidRPr="000E32ED">
        <w:rPr>
          <w:rFonts w:ascii="Tahoma" w:eastAsia="Times New Roman" w:hAnsi="Tahoma" w:cs="Tahoma"/>
          <w:i/>
          <w:iCs/>
          <w:color w:val="000000"/>
          <w:sz w:val="17"/>
          <w:szCs w:val="17"/>
          <w:bdr w:val="none" w:sz="0" w:space="0" w:color="auto" w:frame="1"/>
        </w:rPr>
        <w:t>                              </w:t>
      </w:r>
      <w:hyperlink r:id="rId7" w:history="1">
        <w:r w:rsidRPr="000E32ED">
          <w:rPr>
            <w:rFonts w:ascii="Tahoma" w:eastAsia="Times New Roman" w:hAnsi="Tahoma" w:cs="Tahoma"/>
            <w:i/>
            <w:iCs/>
            <w:color w:val="04329C"/>
            <w:sz w:val="17"/>
            <w:szCs w:val="17"/>
            <w:bdr w:val="none" w:sz="0" w:space="0" w:color="auto" w:frame="1"/>
          </w:rPr>
          <w:t>All Division News</w:t>
        </w:r>
      </w:hyperlink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  <w:t>● </w:t>
      </w:r>
      <w:hyperlink r:id="rId8" w:anchor="2014" w:history="1"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t>Organizational tax; taxes on changes of capital</w:t>
        </w:r>
      </w:hyperlink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</w:r>
    </w:p>
    <w:p w:rsidR="000E32ED" w:rsidRPr="000E32ED" w:rsidRDefault="000E32ED" w:rsidP="000E32ED">
      <w:pPr>
        <w:shd w:val="clear" w:color="auto" w:fill="EADCAE"/>
        <w:rPr>
          <w:rFonts w:ascii="Tahoma" w:eastAsia="Times New Roman" w:hAnsi="Tahoma" w:cs="Tahoma"/>
          <w:color w:val="003366"/>
          <w:sz w:val="18"/>
          <w:szCs w:val="18"/>
        </w:rPr>
      </w:pPr>
      <w:r w:rsidRPr="000E32ED">
        <w:rPr>
          <w:rFonts w:ascii="Tahoma" w:eastAsia="Times New Roman" w:hAnsi="Tahoma" w:cs="Tahoma"/>
          <w:color w:val="003366"/>
          <w:sz w:val="18"/>
          <w:szCs w:val="18"/>
        </w:rPr>
        <w:pict>
          <v:rect id="_x0000_i1027" style="width:0;height:1.5pt" o:hralign="center" o:hrstd="t" o:hr="t" fillcolor="#aaa" stroked="f"/>
        </w:pict>
      </w:r>
    </w:p>
    <w:p w:rsidR="000E32ED" w:rsidRPr="000E32ED" w:rsidRDefault="000E32ED" w:rsidP="000E32ED">
      <w:pPr>
        <w:shd w:val="clear" w:color="auto" w:fill="EADCAE"/>
        <w:spacing w:line="255" w:lineRule="atLeast"/>
        <w:outlineLvl w:val="1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  <w:r w:rsidRPr="000E32ED">
        <w:rPr>
          <w:rFonts w:ascii="Tahoma" w:eastAsia="Times New Roman" w:hAnsi="Tahoma" w:cs="Tahoma"/>
          <w:b/>
          <w:bCs/>
          <w:color w:val="B66506"/>
          <w:sz w:val="23"/>
          <w:szCs w:val="23"/>
          <w:bdr w:val="none" w:sz="0" w:space="0" w:color="auto" w:frame="1"/>
        </w:rPr>
        <w:t>Database Searches</w:t>
      </w:r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  <w:t>●  </w:t>
      </w:r>
      <w:r w:rsidRPr="000E32ED">
        <w:rPr>
          <w:rFonts w:ascii="Tahoma" w:eastAsia="Times New Roman" w:hAnsi="Tahoma" w:cs="Tahoma"/>
          <w:color w:val="FF0000"/>
          <w:sz w:val="17"/>
          <w:szCs w:val="17"/>
          <w:bdr w:val="none" w:sz="0" w:space="0" w:color="auto" w:frame="1"/>
        </w:rPr>
        <w:t> New! </w:t>
      </w:r>
      <w:hyperlink r:id="rId9" w:history="1"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t>Local Laws Search</w:t>
        </w:r>
      </w:hyperlink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</w:r>
      <w:proofErr w:type="gramStart"/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t>●  </w:t>
      </w:r>
      <w:proofErr w:type="gramEnd"/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fldChar w:fldCharType="begin"/>
      </w:r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instrText xml:space="preserve"> HYPERLINK "http://www.dos.ny.gov/corps/bus_entity_search.html" </w:instrText>
      </w:r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</w:r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fldChar w:fldCharType="separate"/>
      </w:r>
      <w:r w:rsidRPr="000E32ED">
        <w:rPr>
          <w:rFonts w:ascii="Tahoma" w:eastAsia="Times New Roman" w:hAnsi="Tahoma" w:cs="Tahoma"/>
          <w:color w:val="04329C"/>
          <w:sz w:val="17"/>
          <w:szCs w:val="17"/>
          <w:bdr w:val="none" w:sz="0" w:space="0" w:color="auto" w:frame="1"/>
        </w:rPr>
        <w:t>Corporation/Business Entities </w:t>
      </w:r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fldChar w:fldCharType="end"/>
      </w:r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  <w:t>●  </w:t>
      </w:r>
      <w:hyperlink r:id="rId10" w:history="1"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t>State Tax Warrant Notices </w:t>
        </w:r>
      </w:hyperlink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  <w:t>●  </w:t>
      </w:r>
      <w:hyperlink r:id="rId11" w:history="1"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t>Child Support Enforcement Notices </w:t>
        </w:r>
      </w:hyperlink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  <w:t>●  </w:t>
      </w:r>
      <w:hyperlink r:id="rId12" w:history="1"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t>Uniform Commercial Code/Lien Search</w:t>
        </w:r>
      </w:hyperlink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  <w:t>●  </w:t>
      </w:r>
      <w:hyperlink r:id="rId13" w:history="1"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t>List of Public Corporations that have filed a </w:t>
        </w:r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br/>
          <w:t>    Certificate of Designation for Service of </w:t>
        </w:r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br/>
          <w:t>    Notice of Claim</w:t>
        </w:r>
      </w:hyperlink>
    </w:p>
    <w:p w:rsidR="000E32ED" w:rsidRPr="000E32ED" w:rsidRDefault="000E32ED" w:rsidP="000E32ED">
      <w:pPr>
        <w:shd w:val="clear" w:color="auto" w:fill="EADCAE"/>
        <w:rPr>
          <w:rFonts w:ascii="Tahoma" w:eastAsia="Times New Roman" w:hAnsi="Tahoma" w:cs="Tahoma"/>
          <w:color w:val="003366"/>
          <w:sz w:val="18"/>
          <w:szCs w:val="18"/>
        </w:rPr>
      </w:pPr>
      <w:r w:rsidRPr="000E32ED">
        <w:rPr>
          <w:rFonts w:ascii="Tahoma" w:eastAsia="Times New Roman" w:hAnsi="Tahoma" w:cs="Tahoma"/>
          <w:color w:val="003366"/>
          <w:sz w:val="18"/>
          <w:szCs w:val="18"/>
        </w:rPr>
        <w:pict>
          <v:rect id="_x0000_i1028" style="width:0;height:1.5pt" o:hralign="center" o:hrstd="t" o:hr="t" fillcolor="#aaa" stroked="f"/>
        </w:pict>
      </w:r>
    </w:p>
    <w:p w:rsidR="000E32ED" w:rsidRPr="000E32ED" w:rsidRDefault="000E32ED" w:rsidP="000E32ED">
      <w:pPr>
        <w:shd w:val="clear" w:color="auto" w:fill="EADCAE"/>
        <w:spacing w:line="255" w:lineRule="atLeast"/>
        <w:outlineLvl w:val="1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  <w:r w:rsidRPr="000E32ED">
        <w:rPr>
          <w:rFonts w:ascii="Tahoma" w:eastAsia="Times New Roman" w:hAnsi="Tahoma" w:cs="Tahoma"/>
          <w:b/>
          <w:bCs/>
          <w:color w:val="B66506"/>
          <w:sz w:val="23"/>
          <w:szCs w:val="23"/>
          <w:bdr w:val="none" w:sz="0" w:space="0" w:color="auto" w:frame="1"/>
        </w:rPr>
        <w:t>Select Links</w:t>
      </w:r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  <w:t>● </w:t>
      </w:r>
      <w:hyperlink r:id="rId14" w:history="1"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t>Complete Forms Listing </w:t>
        </w:r>
      </w:hyperlink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  <w:t>● </w:t>
      </w:r>
      <w:hyperlink r:id="rId15" w:history="1"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t>Expedited Handling Services</w:t>
        </w:r>
      </w:hyperlink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  <w:t>● </w:t>
      </w:r>
      <w:hyperlink r:id="rId16" w:history="1"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t>Faxed Filings </w:t>
        </w:r>
      </w:hyperlink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  <w:t>● </w:t>
      </w:r>
      <w:hyperlink r:id="rId17" w:history="1">
        <w:r w:rsidRPr="000E32ED">
          <w:rPr>
            <w:rFonts w:ascii="Tahoma" w:eastAsia="Times New Roman" w:hAnsi="Tahoma" w:cs="Tahoma"/>
            <w:b/>
            <w:bCs/>
            <w:color w:val="04329C"/>
            <w:sz w:val="17"/>
            <w:szCs w:val="17"/>
            <w:bdr w:val="none" w:sz="0" w:space="0" w:color="auto" w:frame="1"/>
          </w:rPr>
          <w:t>Online Filings:</w:t>
        </w:r>
      </w:hyperlink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</w:r>
      <w:proofErr w:type="gramStart"/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t>      </w:t>
      </w:r>
      <w:r w:rsidRPr="000E32ED">
        <w:rPr>
          <w:rFonts w:ascii="Tahoma" w:eastAsia="Times New Roman" w:hAnsi="Tahoma" w:cs="Tahoma"/>
          <w:color w:val="000000"/>
          <w:sz w:val="12"/>
          <w:szCs w:val="12"/>
          <w:bdr w:val="none" w:sz="0" w:space="0" w:color="auto" w:frame="1"/>
        </w:rPr>
        <w:t>●</w:t>
      </w:r>
      <w:proofErr w:type="gramEnd"/>
      <w:r w:rsidRPr="000E32ED">
        <w:rPr>
          <w:rFonts w:ascii="Tahoma" w:eastAsia="Times New Roman" w:hAnsi="Tahoma" w:cs="Tahoma"/>
          <w:color w:val="000000"/>
          <w:sz w:val="12"/>
          <w:szCs w:val="12"/>
          <w:bdr w:val="none" w:sz="0" w:space="0" w:color="auto" w:frame="1"/>
        </w:rPr>
        <w:t xml:space="preserve">  </w:t>
      </w:r>
      <w:hyperlink r:id="rId18" w:history="1"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t>Biennial Statements</w:t>
        </w:r>
      </w:hyperlink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  <w:t>      </w:t>
      </w:r>
      <w:r w:rsidRPr="000E32ED">
        <w:rPr>
          <w:rFonts w:ascii="Tahoma" w:eastAsia="Times New Roman" w:hAnsi="Tahoma" w:cs="Tahoma"/>
          <w:color w:val="000000"/>
          <w:sz w:val="12"/>
          <w:szCs w:val="12"/>
          <w:bdr w:val="none" w:sz="0" w:space="0" w:color="auto" w:frame="1"/>
        </w:rPr>
        <w:t>●  </w:t>
      </w:r>
      <w:hyperlink r:id="rId19" w:history="1"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t>Business Corporation Formation </w:t>
        </w:r>
      </w:hyperlink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  <w:t>      </w:t>
      </w:r>
      <w:r w:rsidRPr="000E32ED">
        <w:rPr>
          <w:rFonts w:ascii="Tahoma" w:eastAsia="Times New Roman" w:hAnsi="Tahoma" w:cs="Tahoma"/>
          <w:color w:val="000000"/>
          <w:sz w:val="12"/>
          <w:szCs w:val="12"/>
          <w:bdr w:val="none" w:sz="0" w:space="0" w:color="auto" w:frame="1"/>
        </w:rPr>
        <w:t>●  </w:t>
      </w:r>
      <w:hyperlink r:id="rId20" w:history="1"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t>Benefit Corporation Formation</w:t>
        </w:r>
      </w:hyperlink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  <w:t>      </w:t>
      </w:r>
      <w:r w:rsidRPr="000E32ED">
        <w:rPr>
          <w:rFonts w:ascii="Tahoma" w:eastAsia="Times New Roman" w:hAnsi="Tahoma" w:cs="Tahoma"/>
          <w:color w:val="000000"/>
          <w:sz w:val="12"/>
          <w:szCs w:val="12"/>
          <w:bdr w:val="none" w:sz="0" w:space="0" w:color="auto" w:frame="1"/>
        </w:rPr>
        <w:t>●  </w:t>
      </w:r>
      <w:hyperlink r:id="rId21" w:history="1"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t>LLC Formation </w:t>
        </w:r>
      </w:hyperlink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  <w:t>      </w:t>
      </w:r>
      <w:r w:rsidRPr="000E32ED">
        <w:rPr>
          <w:rFonts w:ascii="Tahoma" w:eastAsia="Times New Roman" w:hAnsi="Tahoma" w:cs="Tahoma"/>
          <w:color w:val="000000"/>
          <w:sz w:val="12"/>
          <w:szCs w:val="12"/>
          <w:bdr w:val="none" w:sz="0" w:space="0" w:color="auto" w:frame="1"/>
        </w:rPr>
        <w:t>●  </w:t>
      </w:r>
      <w:hyperlink r:id="rId22" w:history="1"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t>Uniform Commercial Code</w:t>
        </w:r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br/>
          <w:t>          Public e-Filing System</w:t>
        </w:r>
      </w:hyperlink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  <w:t>      </w:t>
      </w:r>
      <w:r w:rsidRPr="000E32ED">
        <w:rPr>
          <w:rFonts w:ascii="Tahoma" w:eastAsia="Times New Roman" w:hAnsi="Tahoma" w:cs="Tahoma"/>
          <w:color w:val="000000"/>
          <w:sz w:val="12"/>
          <w:szCs w:val="12"/>
          <w:bdr w:val="none" w:sz="0" w:space="0" w:color="auto" w:frame="1"/>
        </w:rPr>
        <w:t>●  </w:t>
      </w:r>
      <w:hyperlink r:id="rId23" w:history="1"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t>Certificate of Designation for </w:t>
        </w:r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br/>
          <w:t>          Service of Notice of Claim </w:t>
        </w:r>
      </w:hyperlink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  <w:t>● </w:t>
      </w:r>
      <w:hyperlink r:id="rId24" w:history="1"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t>Resources </w:t>
        </w:r>
      </w:hyperlink>
      <w:r w:rsidRPr="000E32ED">
        <w:rPr>
          <w:rFonts w:ascii="Tahoma" w:eastAsia="Times New Roman" w:hAnsi="Tahoma" w:cs="Tahoma"/>
          <w:color w:val="000000"/>
          <w:sz w:val="17"/>
          <w:szCs w:val="17"/>
          <w:bdr w:val="none" w:sz="0" w:space="0" w:color="auto" w:frame="1"/>
        </w:rPr>
        <w:br/>
        <w:t>● </w:t>
      </w:r>
      <w:hyperlink r:id="rId25" w:history="1">
        <w:r w:rsidRPr="000E32ED">
          <w:rPr>
            <w:rFonts w:ascii="Tahoma" w:eastAsia="Times New Roman" w:hAnsi="Tahoma" w:cs="Tahoma"/>
            <w:color w:val="04329C"/>
            <w:sz w:val="17"/>
            <w:szCs w:val="17"/>
            <w:bdr w:val="none" w:sz="0" w:space="0" w:color="auto" w:frame="1"/>
          </w:rPr>
          <w:t>Contact the Division</w:t>
        </w:r>
      </w:hyperlink>
    </w:p>
    <w:p w:rsidR="000E32ED" w:rsidRPr="000E32ED" w:rsidRDefault="000E32ED" w:rsidP="000E32ED">
      <w:pPr>
        <w:shd w:val="clear" w:color="auto" w:fill="FFFFFF"/>
        <w:spacing w:before="100" w:beforeAutospacing="1" w:after="100" w:afterAutospacing="1" w:line="234" w:lineRule="atLeast"/>
        <w:rPr>
          <w:rFonts w:ascii="Tahoma" w:hAnsi="Tahoma" w:cs="Tahoma"/>
          <w:color w:val="000000"/>
          <w:sz w:val="18"/>
          <w:szCs w:val="18"/>
        </w:rPr>
      </w:pPr>
      <w:r w:rsidRPr="000E32ED">
        <w:rPr>
          <w:rFonts w:ascii="Tahoma" w:hAnsi="Tahoma" w:cs="Tahoma"/>
          <w:color w:val="000000"/>
          <w:sz w:val="18"/>
          <w:szCs w:val="18"/>
        </w:rPr>
        <w:t xml:space="preserve">All fees must be paid by cash, check, </w:t>
      </w:r>
      <w:proofErr w:type="gramStart"/>
      <w:r w:rsidRPr="000E32ED">
        <w:rPr>
          <w:rFonts w:ascii="Tahoma" w:hAnsi="Tahoma" w:cs="Tahoma"/>
          <w:color w:val="000000"/>
          <w:sz w:val="18"/>
          <w:szCs w:val="18"/>
        </w:rPr>
        <w:t>money</w:t>
      </w:r>
      <w:proofErr w:type="gramEnd"/>
      <w:r w:rsidRPr="000E32ED">
        <w:rPr>
          <w:rFonts w:ascii="Tahoma" w:hAnsi="Tahoma" w:cs="Tahoma"/>
          <w:color w:val="000000"/>
          <w:sz w:val="18"/>
          <w:szCs w:val="18"/>
        </w:rPr>
        <w:t xml:space="preserve"> order, MasterCard, Visa or American Express. Checks and money orders should be made payable to the “Department of State.” Please do not send cash through the mail. All checks over $500 must be certified.</w:t>
      </w:r>
    </w:p>
    <w:tbl>
      <w:tblPr>
        <w:tblW w:w="4750" w:type="pct"/>
        <w:tblCellSpacing w:w="15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636"/>
        <w:gridCol w:w="705"/>
      </w:tblGrid>
      <w:tr w:rsidR="000E32ED" w:rsidRPr="000E32ED" w:rsidTr="000E32ED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0E32ED" w:rsidRPr="000E32ED" w:rsidRDefault="000E32ED" w:rsidP="000E32ED">
            <w:pPr>
              <w:spacing w:line="225" w:lineRule="atLeast"/>
              <w:rPr>
                <w:rFonts w:ascii="Times" w:eastAsia="Times New Roman" w:hAnsi="Times" w:cs="Times New Roman"/>
                <w:b/>
                <w:bCs/>
                <w:color w:val="B66506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b/>
                <w:bCs/>
                <w:color w:val="B66506"/>
                <w:sz w:val="20"/>
                <w:szCs w:val="20"/>
              </w:rPr>
              <w:t>FILING UNDER THE BUSINESS CORPORATION LAW                                                          </w:t>
            </w:r>
            <w:r w:rsidRPr="000E32ED">
              <w:rPr>
                <w:rFonts w:ascii="Tahoma" w:eastAsia="Times New Roman" w:hAnsi="Tahoma" w:cs="Tahoma"/>
                <w:b/>
                <w:bCs/>
                <w:color w:val="B66506"/>
                <w:sz w:val="17"/>
                <w:szCs w:val="17"/>
                <w:bdr w:val="none" w:sz="0" w:space="0" w:color="auto" w:frame="1"/>
              </w:rPr>
              <w:t>Rev. 3/16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4600" w:type="pct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Incorporation (all corporations)</w:t>
            </w:r>
          </w:p>
        </w:tc>
        <w:tc>
          <w:tcPr>
            <w:tcW w:w="400" w:type="pct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$125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Amendment or Restated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60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Consolidation or Merger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60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Change §805-</w:t>
            </w:r>
            <w:proofErr w:type="gramStart"/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A(</w:t>
            </w:r>
            <w:proofErr w:type="gramEnd"/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a) or §1309-A(b)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30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Change §805-</w:t>
            </w:r>
            <w:proofErr w:type="gramStart"/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A(</w:t>
            </w:r>
            <w:proofErr w:type="gramEnd"/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b) or §1309-A(c)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5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Resignation for Receipt of Process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60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Correction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60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Dissolution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60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Reservation of Name or Extension or Cancellation of Reservation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20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Application for Authority (Foreign)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225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Application for Authority (Foreign Professional)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200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Surrender of Authority or Termination of Foreign Corporation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60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Resignation of Registered Agent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60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Biennial Statement/Biennial Statement Amendment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9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E32ED" w:rsidRPr="000E32ED" w:rsidRDefault="000E32ED" w:rsidP="000E32ED">
            <w:pPr>
              <w:spacing w:before="100" w:beforeAutospacing="1" w:after="100" w:afterAutospacing="1" w:line="254" w:lineRule="atLeast"/>
              <w:rPr>
                <w:rFonts w:ascii="Times" w:hAnsi="Times" w:cs="Times New Roman"/>
                <w:b/>
                <w:bCs/>
                <w:color w:val="B66506"/>
                <w:sz w:val="20"/>
                <w:szCs w:val="20"/>
              </w:rPr>
            </w:pPr>
            <w:r w:rsidRPr="000E32ED">
              <w:rPr>
                <w:rFonts w:ascii="Times" w:hAnsi="Times" w:cs="Times New Roman"/>
                <w:b/>
                <w:bCs/>
                <w:color w:val="B66506"/>
                <w:sz w:val="20"/>
                <w:szCs w:val="20"/>
              </w:rPr>
              <w:t>FILING UNDER THE NOT-FOR-PROFIT CORPORATION LAW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Incorporation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75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Amendment or Restated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30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Consolidation or Merger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30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Change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20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Correction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30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Dissolution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30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Reservation of Name or Extension or Cancellation of Reservation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10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Application for Authority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135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Surrender of Authority or Termination of Foreign Corporation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30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Resignation of Registered Agent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30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Annulment of Dissolution, Reinstatement and Report of Corporate Existence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30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E32ED" w:rsidRPr="000E32ED" w:rsidRDefault="000E32ED" w:rsidP="000E32ED">
            <w:pPr>
              <w:spacing w:line="225" w:lineRule="atLeast"/>
              <w:rPr>
                <w:rFonts w:ascii="Times" w:eastAsia="Times New Roman" w:hAnsi="Times" w:cs="Times New Roman"/>
                <w:b/>
                <w:bCs/>
                <w:color w:val="B66506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b/>
                <w:bCs/>
                <w:color w:val="B66506"/>
                <w:sz w:val="20"/>
                <w:szCs w:val="20"/>
              </w:rPr>
              <w:t>EXPEDITED HANDLING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gridSpan w:val="2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All filings except Biennial Statement - per document (in addition to filing fee)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For processing within 2 hours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150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For processing the same day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75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For processing within 24 hours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25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gridSpan w:val="2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Certificates of Status and Copy Requests - per request (in addition to applicable fee)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For processing within 2 hours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150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For processing the same day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75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For processing within 24 hours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25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E32ED" w:rsidRPr="000E32ED" w:rsidRDefault="000E32ED" w:rsidP="000E32ED">
            <w:pPr>
              <w:spacing w:line="225" w:lineRule="atLeast"/>
              <w:rPr>
                <w:rFonts w:ascii="Times" w:eastAsia="Times New Roman" w:hAnsi="Times" w:cs="Times New Roman"/>
                <w:b/>
                <w:bCs/>
                <w:color w:val="B66506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b/>
                <w:bCs/>
                <w:color w:val="B66506"/>
                <w:sz w:val="20"/>
                <w:szCs w:val="20"/>
              </w:rPr>
              <w:t>SERVING PROCESS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Corporation, Joint Stock Association or Business Trust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40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Motor Vehicles, Boats or Aircraft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10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Certificate as to Service of Process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25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E32ED" w:rsidRPr="000E32ED" w:rsidRDefault="000E32ED" w:rsidP="000E32ED">
            <w:pPr>
              <w:spacing w:line="225" w:lineRule="atLeast"/>
              <w:rPr>
                <w:rFonts w:ascii="Times" w:eastAsia="Times New Roman" w:hAnsi="Times" w:cs="Times New Roman"/>
                <w:b/>
                <w:bCs/>
                <w:color w:val="B66506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b/>
                <w:bCs/>
                <w:color w:val="B66506"/>
                <w:sz w:val="20"/>
                <w:szCs w:val="20"/>
              </w:rPr>
              <w:t>CERTIFICATES ISSUED, ETC.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Certificates as to documents on file, status of corporation, etc.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25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Certified Copy of Filed Document</w:t>
            </w:r>
          </w:p>
        </w:tc>
        <w:tc>
          <w:tcPr>
            <w:tcW w:w="0" w:type="auto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10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Uncertified Copy of Filed Document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5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E32ED" w:rsidRPr="000E32ED" w:rsidRDefault="000E32ED" w:rsidP="000E32ED">
            <w:pPr>
              <w:spacing w:line="225" w:lineRule="atLeast"/>
              <w:rPr>
                <w:rFonts w:ascii="Times" w:eastAsia="Times New Roman" w:hAnsi="Times" w:cs="Times New Roman"/>
                <w:b/>
                <w:bCs/>
                <w:color w:val="B66506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b/>
                <w:bCs/>
                <w:color w:val="B66506"/>
                <w:sz w:val="20"/>
                <w:szCs w:val="20"/>
              </w:rPr>
              <w:t>AVAILABILITY OF NAME</w:t>
            </w:r>
          </w:p>
        </w:tc>
      </w:tr>
      <w:tr w:rsidR="000E32ED" w:rsidRPr="000E32ED" w:rsidTr="000E32ED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Fee for each name submitted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0E32ED" w:rsidRPr="000E32ED" w:rsidRDefault="000E32ED" w:rsidP="000E32ED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E32ED">
              <w:rPr>
                <w:rFonts w:ascii="Times" w:eastAsia="Times New Roman" w:hAnsi="Times" w:cs="Times New Roman"/>
                <w:sz w:val="20"/>
                <w:szCs w:val="20"/>
              </w:rPr>
              <w:t>5</w:t>
            </w:r>
          </w:p>
        </w:tc>
      </w:tr>
    </w:tbl>
    <w:p w:rsidR="00DB1695" w:rsidRDefault="00DB1695"/>
    <w:sectPr w:rsidR="00DB1695" w:rsidSect="00DB16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ED"/>
    <w:rsid w:val="000E32ED"/>
    <w:rsid w:val="00DB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AA61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2E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32ED"/>
    <w:rPr>
      <w:rFonts w:ascii="Times" w:hAnsi="Times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2E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2ED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0E32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2E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2ED"/>
    <w:rPr>
      <w:rFonts w:ascii="Arial" w:hAnsi="Arial" w:cs="Arial"/>
      <w:vanish/>
      <w:sz w:val="16"/>
      <w:szCs w:val="16"/>
    </w:rPr>
  </w:style>
  <w:style w:type="character" w:customStyle="1" w:styleId="subhead1">
    <w:name w:val="subhead1"/>
    <w:basedOn w:val="DefaultParagraphFont"/>
    <w:rsid w:val="000E32ED"/>
  </w:style>
  <w:style w:type="character" w:customStyle="1" w:styleId="highlightdarkorange">
    <w:name w:val="highlightdarkorange"/>
    <w:basedOn w:val="DefaultParagraphFont"/>
    <w:rsid w:val="000E32ED"/>
  </w:style>
  <w:style w:type="character" w:customStyle="1" w:styleId="bodyfont">
    <w:name w:val="bodyfont"/>
    <w:basedOn w:val="DefaultParagraphFont"/>
    <w:rsid w:val="000E32ED"/>
  </w:style>
  <w:style w:type="character" w:styleId="Emphasis">
    <w:name w:val="Emphasis"/>
    <w:basedOn w:val="DefaultParagraphFont"/>
    <w:uiPriority w:val="20"/>
    <w:qFormat/>
    <w:rsid w:val="000E32E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E32ED"/>
    <w:rPr>
      <w:color w:val="0000FF"/>
      <w:u w:val="single"/>
    </w:rPr>
  </w:style>
  <w:style w:type="character" w:customStyle="1" w:styleId="highlightredalert">
    <w:name w:val="highlightredalert"/>
    <w:basedOn w:val="DefaultParagraphFont"/>
    <w:rsid w:val="000E32ED"/>
  </w:style>
  <w:style w:type="character" w:styleId="Strong">
    <w:name w:val="Strong"/>
    <w:basedOn w:val="DefaultParagraphFont"/>
    <w:uiPriority w:val="22"/>
    <w:qFormat/>
    <w:rsid w:val="000E32ED"/>
    <w:rPr>
      <w:b/>
      <w:bCs/>
    </w:rPr>
  </w:style>
  <w:style w:type="character" w:customStyle="1" w:styleId="subhead2">
    <w:name w:val="subhead2"/>
    <w:basedOn w:val="DefaultParagraphFont"/>
    <w:rsid w:val="000E32ED"/>
  </w:style>
  <w:style w:type="paragraph" w:styleId="NormalWeb">
    <w:name w:val="Normal (Web)"/>
    <w:basedOn w:val="Normal"/>
    <w:uiPriority w:val="99"/>
    <w:unhideWhenUsed/>
    <w:rsid w:val="000E32E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subhead3">
    <w:name w:val="subhead3"/>
    <w:basedOn w:val="DefaultParagraphFont"/>
    <w:rsid w:val="000E32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2E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32ED"/>
    <w:rPr>
      <w:rFonts w:ascii="Times" w:hAnsi="Times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2E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2ED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0E32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2E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2ED"/>
    <w:rPr>
      <w:rFonts w:ascii="Arial" w:hAnsi="Arial" w:cs="Arial"/>
      <w:vanish/>
      <w:sz w:val="16"/>
      <w:szCs w:val="16"/>
    </w:rPr>
  </w:style>
  <w:style w:type="character" w:customStyle="1" w:styleId="subhead1">
    <w:name w:val="subhead1"/>
    <w:basedOn w:val="DefaultParagraphFont"/>
    <w:rsid w:val="000E32ED"/>
  </w:style>
  <w:style w:type="character" w:customStyle="1" w:styleId="highlightdarkorange">
    <w:name w:val="highlightdarkorange"/>
    <w:basedOn w:val="DefaultParagraphFont"/>
    <w:rsid w:val="000E32ED"/>
  </w:style>
  <w:style w:type="character" w:customStyle="1" w:styleId="bodyfont">
    <w:name w:val="bodyfont"/>
    <w:basedOn w:val="DefaultParagraphFont"/>
    <w:rsid w:val="000E32ED"/>
  </w:style>
  <w:style w:type="character" w:styleId="Emphasis">
    <w:name w:val="Emphasis"/>
    <w:basedOn w:val="DefaultParagraphFont"/>
    <w:uiPriority w:val="20"/>
    <w:qFormat/>
    <w:rsid w:val="000E32E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E32ED"/>
    <w:rPr>
      <w:color w:val="0000FF"/>
      <w:u w:val="single"/>
    </w:rPr>
  </w:style>
  <w:style w:type="character" w:customStyle="1" w:styleId="highlightredalert">
    <w:name w:val="highlightredalert"/>
    <w:basedOn w:val="DefaultParagraphFont"/>
    <w:rsid w:val="000E32ED"/>
  </w:style>
  <w:style w:type="character" w:styleId="Strong">
    <w:name w:val="Strong"/>
    <w:basedOn w:val="DefaultParagraphFont"/>
    <w:uiPriority w:val="22"/>
    <w:qFormat/>
    <w:rsid w:val="000E32ED"/>
    <w:rPr>
      <w:b/>
      <w:bCs/>
    </w:rPr>
  </w:style>
  <w:style w:type="character" w:customStyle="1" w:styleId="subhead2">
    <w:name w:val="subhead2"/>
    <w:basedOn w:val="DefaultParagraphFont"/>
    <w:rsid w:val="000E32ED"/>
  </w:style>
  <w:style w:type="paragraph" w:styleId="NormalWeb">
    <w:name w:val="Normal (Web)"/>
    <w:basedOn w:val="Normal"/>
    <w:uiPriority w:val="99"/>
    <w:unhideWhenUsed/>
    <w:rsid w:val="000E32E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subhead3">
    <w:name w:val="subhead3"/>
    <w:basedOn w:val="DefaultParagraphFont"/>
    <w:rsid w:val="000E3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8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6" w:space="0" w:color="FFFFFF"/>
            <w:right w:val="none" w:sz="0" w:space="8" w:color="auto"/>
          </w:divBdr>
        </w:div>
        <w:div w:id="1485778839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11" w:color="auto"/>
            <w:bottom w:val="none" w:sz="0" w:space="0" w:color="auto"/>
            <w:right w:val="none" w:sz="0" w:space="11" w:color="auto"/>
          </w:divBdr>
        </w:div>
        <w:div w:id="137831246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19" w:color="auto"/>
            <w:bottom w:val="single" w:sz="2" w:space="8" w:color="FFFFFF"/>
            <w:right w:val="none" w:sz="0" w:space="8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dos.ny.gov/corps/locallaws.html" TargetMode="External"/><Relationship Id="rId20" Type="http://schemas.openxmlformats.org/officeDocument/2006/relationships/hyperlink" Target="https://appext20.dos.ny.gov/ecorp_public/f?p=201:17" TargetMode="External"/><Relationship Id="rId21" Type="http://schemas.openxmlformats.org/officeDocument/2006/relationships/hyperlink" Target="http://ecorp.dos.ny.gov/" TargetMode="External"/><Relationship Id="rId22" Type="http://schemas.openxmlformats.org/officeDocument/2006/relationships/hyperlink" Target="http://www.dos.ny.gov/corps/euccfiling.html" TargetMode="External"/><Relationship Id="rId23" Type="http://schemas.openxmlformats.org/officeDocument/2006/relationships/hyperlink" Target="http://www.dos.ny.gov/corps/notice_of_claim.html" TargetMode="External"/><Relationship Id="rId24" Type="http://schemas.openxmlformats.org/officeDocument/2006/relationships/hyperlink" Target="http://www.dos.ny.gov/corps/othersites.html" TargetMode="External"/><Relationship Id="rId25" Type="http://schemas.openxmlformats.org/officeDocument/2006/relationships/hyperlink" Target="http://www.dos.ny.gov/corps/contact.html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www.dos.ny.gov/corps/tax_warrant_search.html" TargetMode="External"/><Relationship Id="rId11" Type="http://schemas.openxmlformats.org/officeDocument/2006/relationships/hyperlink" Target="http://www.dos.ny.gov/corps/child_support_search.html" TargetMode="External"/><Relationship Id="rId12" Type="http://schemas.openxmlformats.org/officeDocument/2006/relationships/hyperlink" Target="http://appext20.dos.ny.gov/pls/ucc_public/web_search.main_frame" TargetMode="External"/><Relationship Id="rId13" Type="http://schemas.openxmlformats.org/officeDocument/2006/relationships/hyperlink" Target="https://appext20.dos.ny.gov/noc_public/corp_claim_app.noc_web_reports.public_corp_name_list" TargetMode="External"/><Relationship Id="rId14" Type="http://schemas.openxmlformats.org/officeDocument/2006/relationships/hyperlink" Target="http://www.dos.ny.gov/corps/forms_listing.html" TargetMode="External"/><Relationship Id="rId15" Type="http://schemas.openxmlformats.org/officeDocument/2006/relationships/hyperlink" Target="http://www.dos.ny.gov/corps/expedite.html" TargetMode="External"/><Relationship Id="rId16" Type="http://schemas.openxmlformats.org/officeDocument/2006/relationships/hyperlink" Target="http://www.dos.ny.gov/corps/faq_faxes.page.asp" TargetMode="External"/><Relationship Id="rId17" Type="http://schemas.openxmlformats.org/officeDocument/2006/relationships/hyperlink" Target="http://www.dos.ny.gov/corps/fees_corp.html" TargetMode="External"/><Relationship Id="rId18" Type="http://schemas.openxmlformats.org/officeDocument/2006/relationships/hyperlink" Target="https://appext20.dos.ny.gov/corp_ebiennial_public/corp_app.e_biennial.main_page" TargetMode="External"/><Relationship Id="rId19" Type="http://schemas.openxmlformats.org/officeDocument/2006/relationships/hyperlink" Target="http://ecorp.dos.ny.gov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dos.ny.gov/corps/news_archive.htm" TargetMode="External"/><Relationship Id="rId8" Type="http://schemas.openxmlformats.org/officeDocument/2006/relationships/hyperlink" Target="http://www.dos.ny.gov/corps/news_archiv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679</Words>
  <Characters>3873</Characters>
  <Application>Microsoft Macintosh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Mac</dc:creator>
  <cp:keywords/>
  <dc:description/>
  <cp:lastModifiedBy>My Mac</cp:lastModifiedBy>
  <cp:revision>1</cp:revision>
  <cp:lastPrinted>2016-11-15T01:05:00Z</cp:lastPrinted>
  <dcterms:created xsi:type="dcterms:W3CDTF">2016-11-15T01:04:00Z</dcterms:created>
  <dcterms:modified xsi:type="dcterms:W3CDTF">2016-11-15T03:25:00Z</dcterms:modified>
</cp:coreProperties>
</file>